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78" w:rsidRDefault="00C00578" w:rsidP="00C00578">
      <w:pPr>
        <w:tabs>
          <w:tab w:val="left" w:pos="3675"/>
        </w:tabs>
        <w:ind w:right="44" w:hanging="180"/>
        <w:rPr>
          <w:rFonts w:ascii="Arial" w:hAnsi="Arial" w:cs="Arial"/>
        </w:rPr>
      </w:pPr>
      <w:r>
        <w:t xml:space="preserve">   </w:t>
      </w:r>
      <w:r w:rsidRPr="0047175F">
        <w:rPr>
          <w:rFonts w:ascii="Arial" w:hAnsi="Arial" w:cs="Arial"/>
        </w:rPr>
        <w:tab/>
        <w:t xml:space="preserve">              </w:t>
      </w:r>
      <w:r>
        <w:rPr>
          <w:rFonts w:ascii="Arial" w:hAnsi="Arial" w:cs="Arial"/>
        </w:rPr>
        <w:t xml:space="preserve">           </w:t>
      </w:r>
      <w:r w:rsidRPr="0047175F">
        <w:rPr>
          <w:rFonts w:ascii="Arial" w:hAnsi="Arial" w:cs="Arial"/>
        </w:rPr>
        <w:t xml:space="preserve">           </w:t>
      </w:r>
    </w:p>
    <w:p w:rsidR="00510F56" w:rsidRDefault="00510F56" w:rsidP="00C00578">
      <w:pPr>
        <w:tabs>
          <w:tab w:val="left" w:pos="3675"/>
        </w:tabs>
        <w:ind w:right="44" w:hanging="180"/>
        <w:rPr>
          <w:rFonts w:ascii="Arial" w:hAnsi="Arial" w:cs="Arial"/>
        </w:rPr>
      </w:pPr>
    </w:p>
    <w:p w:rsidR="00510F56" w:rsidRDefault="00510F56" w:rsidP="00C00578">
      <w:pPr>
        <w:tabs>
          <w:tab w:val="left" w:pos="3675"/>
        </w:tabs>
        <w:ind w:right="44" w:hanging="180"/>
        <w:rPr>
          <w:rFonts w:ascii="Arial" w:hAnsi="Arial" w:cs="Arial"/>
        </w:rPr>
      </w:pPr>
    </w:p>
    <w:p w:rsidR="00510F56" w:rsidRDefault="00510F56" w:rsidP="00C00578">
      <w:pPr>
        <w:tabs>
          <w:tab w:val="left" w:pos="3675"/>
        </w:tabs>
        <w:ind w:right="44" w:hanging="180"/>
        <w:rPr>
          <w:rFonts w:ascii="Arial" w:hAnsi="Arial" w:cs="Arial"/>
        </w:rPr>
      </w:pPr>
    </w:p>
    <w:p w:rsidR="00C00578" w:rsidRPr="007B183C" w:rsidRDefault="00510F56" w:rsidP="00C00578">
      <w:pPr>
        <w:pBdr>
          <w:top w:val="single" w:sz="4" w:space="4" w:color="auto"/>
          <w:bottom w:val="single" w:sz="4" w:space="0" w:color="auto"/>
        </w:pBdr>
        <w:adjustRightInd w:val="0"/>
        <w:spacing w:line="240" w:lineRule="atLeast"/>
        <w:ind w:right="224"/>
        <w:jc w:val="center"/>
        <w:outlineLvl w:val="0"/>
        <w:rPr>
          <w:rFonts w:ascii="Arial" w:eastAsia="Gulim" w:hAnsi="Arial" w:cs="Arial"/>
          <w:sz w:val="44"/>
          <w:szCs w:val="34"/>
          <w:lang w:val="es-ES_tradnl"/>
        </w:rPr>
      </w:pPr>
      <w:r>
        <w:rPr>
          <w:rFonts w:ascii="Arial" w:hAnsi="Arial" w:cs="Arial"/>
          <w:b/>
          <w:sz w:val="44"/>
          <w:szCs w:val="34"/>
        </w:rPr>
        <w:t>NOTA DE PRENSA</w:t>
      </w:r>
    </w:p>
    <w:p w:rsidR="00510F56" w:rsidRDefault="00510F56" w:rsidP="00510F56">
      <w:pPr>
        <w:jc w:val="center"/>
        <w:rPr>
          <w:rFonts w:ascii="Arial" w:hAnsi="Arial" w:cs="Arial"/>
          <w:b/>
          <w:sz w:val="36"/>
          <w:szCs w:val="50"/>
          <w:lang w:val="es-ES_tradnl"/>
        </w:rPr>
      </w:pPr>
    </w:p>
    <w:p w:rsidR="00E4687F" w:rsidRDefault="00E4687F" w:rsidP="00510F56">
      <w:pPr>
        <w:jc w:val="center"/>
        <w:rPr>
          <w:rFonts w:ascii="Arial" w:hAnsi="Arial" w:cs="Arial"/>
          <w:b/>
          <w:sz w:val="36"/>
          <w:szCs w:val="50"/>
          <w:lang w:val="es-ES_tradnl"/>
        </w:rPr>
      </w:pPr>
    </w:p>
    <w:p w:rsidR="00510F56" w:rsidRPr="00E4687F" w:rsidRDefault="00510F56" w:rsidP="00510F56">
      <w:pPr>
        <w:jc w:val="center"/>
        <w:rPr>
          <w:rFonts w:ascii="Arial" w:hAnsi="Arial" w:cs="Arial"/>
          <w:b/>
          <w:sz w:val="44"/>
          <w:szCs w:val="50"/>
          <w:lang w:val="es-ES_tradnl"/>
        </w:rPr>
      </w:pPr>
      <w:r w:rsidRPr="00E4687F">
        <w:rPr>
          <w:rFonts w:ascii="Arial" w:hAnsi="Arial" w:cs="Arial"/>
          <w:b/>
          <w:sz w:val="44"/>
          <w:szCs w:val="50"/>
          <w:lang w:val="es-ES_tradnl"/>
        </w:rPr>
        <w:t>Economía Circular y sostenibilidad ambiental en las empresas alavesas</w:t>
      </w:r>
    </w:p>
    <w:p w:rsidR="00510F56" w:rsidRPr="00E4687F" w:rsidRDefault="00510F56" w:rsidP="00510F56">
      <w:pPr>
        <w:jc w:val="center"/>
        <w:rPr>
          <w:rFonts w:ascii="Arial" w:hAnsi="Arial" w:cs="Arial"/>
          <w:b/>
          <w:sz w:val="28"/>
        </w:rPr>
      </w:pPr>
    </w:p>
    <w:p w:rsidR="00510F56" w:rsidRPr="00E4687F" w:rsidRDefault="00510F56" w:rsidP="00510F56">
      <w:pPr>
        <w:jc w:val="center"/>
        <w:rPr>
          <w:rFonts w:ascii="Arial" w:hAnsi="Arial" w:cs="Arial"/>
          <w:b/>
          <w:sz w:val="28"/>
        </w:rPr>
      </w:pPr>
      <w:r w:rsidRPr="00E4687F">
        <w:rPr>
          <w:rFonts w:ascii="Arial" w:hAnsi="Arial" w:cs="Arial"/>
          <w:b/>
          <w:sz w:val="28"/>
        </w:rPr>
        <w:t>El 60,5% de las empresas alavesas consultadas aplicaron medidas de sostenibilidad ambiental en 2018</w:t>
      </w:r>
    </w:p>
    <w:p w:rsidR="00510F56" w:rsidRDefault="00510F56" w:rsidP="00510F56">
      <w:pPr>
        <w:jc w:val="center"/>
        <w:rPr>
          <w:rFonts w:ascii="Arial" w:hAnsi="Arial" w:cs="Arial"/>
          <w:b/>
          <w:sz w:val="36"/>
          <w:szCs w:val="50"/>
          <w:lang w:val="es-ES_tradnl"/>
        </w:rPr>
      </w:pPr>
    </w:p>
    <w:p w:rsidR="00510F56" w:rsidRDefault="00510F56" w:rsidP="008A2698">
      <w:pPr>
        <w:jc w:val="both"/>
        <w:rPr>
          <w:rFonts w:ascii="Arial" w:hAnsi="Arial" w:cs="Arial"/>
          <w:sz w:val="20"/>
          <w:szCs w:val="20"/>
        </w:rPr>
      </w:pPr>
    </w:p>
    <w:p w:rsidR="00850B66" w:rsidRDefault="00510F56" w:rsidP="008A2698">
      <w:pPr>
        <w:jc w:val="both"/>
        <w:rPr>
          <w:rFonts w:ascii="Arial" w:hAnsi="Arial" w:cs="Arial"/>
          <w:sz w:val="20"/>
          <w:szCs w:val="20"/>
        </w:rPr>
      </w:pPr>
      <w:r w:rsidRPr="00510F56">
        <w:rPr>
          <w:rFonts w:ascii="Arial" w:hAnsi="Arial" w:cs="Arial"/>
          <w:b/>
          <w:sz w:val="20"/>
          <w:szCs w:val="20"/>
        </w:rPr>
        <w:t>Vitoria-Gasteiz, 22 de enero de 2019.</w:t>
      </w:r>
      <w:r w:rsidRPr="00510F56">
        <w:rPr>
          <w:rFonts w:ascii="Arial" w:hAnsi="Arial" w:cs="Arial"/>
          <w:sz w:val="20"/>
          <w:szCs w:val="20"/>
        </w:rPr>
        <w:t xml:space="preserve"> </w:t>
      </w:r>
      <w:r w:rsidR="006570AE">
        <w:rPr>
          <w:rFonts w:ascii="Arial" w:hAnsi="Arial" w:cs="Arial"/>
          <w:sz w:val="20"/>
          <w:szCs w:val="20"/>
        </w:rPr>
        <w:t>Una de las siete</w:t>
      </w:r>
      <w:r w:rsidR="009020DC">
        <w:rPr>
          <w:rFonts w:ascii="Arial" w:hAnsi="Arial" w:cs="Arial"/>
          <w:sz w:val="20"/>
          <w:szCs w:val="20"/>
        </w:rPr>
        <w:t xml:space="preserve"> principales estrategias europeas para generar crecimiento y empleo se focaliza en </w:t>
      </w:r>
      <w:r w:rsidR="009020DC" w:rsidRPr="009020DC">
        <w:rPr>
          <w:rFonts w:ascii="Arial" w:hAnsi="Arial" w:cs="Arial"/>
          <w:b/>
          <w:sz w:val="20"/>
          <w:szCs w:val="20"/>
        </w:rPr>
        <w:t>“una Europa que utilice eficazmente los recursos”</w:t>
      </w:r>
      <w:r w:rsidR="009020DC">
        <w:rPr>
          <w:rFonts w:ascii="Arial" w:hAnsi="Arial" w:cs="Arial"/>
          <w:sz w:val="20"/>
          <w:szCs w:val="20"/>
        </w:rPr>
        <w:t xml:space="preserve"> con el objetivo de convertir a la UE en una </w:t>
      </w:r>
      <w:r w:rsidR="009020DC" w:rsidRPr="009020DC">
        <w:rPr>
          <w:rFonts w:ascii="Arial" w:hAnsi="Arial" w:cs="Arial"/>
          <w:i/>
          <w:sz w:val="20"/>
          <w:szCs w:val="20"/>
        </w:rPr>
        <w:t>economía circular</w:t>
      </w:r>
      <w:r w:rsidR="00850B66">
        <w:rPr>
          <w:rFonts w:ascii="Arial" w:hAnsi="Arial" w:cs="Arial"/>
          <w:i/>
          <w:sz w:val="20"/>
          <w:szCs w:val="20"/>
        </w:rPr>
        <w:t>.</w:t>
      </w:r>
      <w:r w:rsidR="009020DC">
        <w:rPr>
          <w:rFonts w:ascii="Arial" w:hAnsi="Arial" w:cs="Arial"/>
          <w:sz w:val="20"/>
          <w:szCs w:val="20"/>
        </w:rPr>
        <w:t xml:space="preserve"> </w:t>
      </w:r>
      <w:r w:rsidR="00850B66" w:rsidRPr="00850B66">
        <w:rPr>
          <w:rFonts w:ascii="Arial" w:hAnsi="Arial" w:cs="Arial"/>
          <w:sz w:val="20"/>
          <w:szCs w:val="20"/>
        </w:rPr>
        <w:t>De acuerdo a la estrategia “Europa 2020”, desde la Comisión Europea se está impulsando la transición a través de la de la renovación de la normativa actual relacionada con las diferentes etapas de la cadena de valor como son la producción, la reparación y fabricación, gestión de residuos y reutilización de materias primas que se reinserten de nuevo en la economía.</w:t>
      </w:r>
    </w:p>
    <w:p w:rsidR="009020DC" w:rsidRDefault="00850B66" w:rsidP="008A2698">
      <w:pPr>
        <w:jc w:val="both"/>
        <w:rPr>
          <w:rFonts w:ascii="Arial" w:hAnsi="Arial" w:cs="Arial"/>
          <w:sz w:val="20"/>
          <w:szCs w:val="20"/>
        </w:rPr>
      </w:pPr>
      <w:r>
        <w:rPr>
          <w:rFonts w:ascii="Arial" w:hAnsi="Arial" w:cs="Arial"/>
          <w:sz w:val="20"/>
          <w:szCs w:val="20"/>
        </w:rPr>
        <w:t xml:space="preserve"> </w:t>
      </w:r>
    </w:p>
    <w:p w:rsidR="008A2698" w:rsidRDefault="008A2698" w:rsidP="008A2698">
      <w:pPr>
        <w:jc w:val="both"/>
        <w:rPr>
          <w:rFonts w:ascii="Arial" w:hAnsi="Arial" w:cs="Arial"/>
          <w:sz w:val="20"/>
          <w:szCs w:val="20"/>
        </w:rPr>
      </w:pPr>
      <w:r w:rsidRPr="008A2698">
        <w:rPr>
          <w:rFonts w:ascii="Arial" w:hAnsi="Arial" w:cs="Arial"/>
          <w:sz w:val="20"/>
          <w:szCs w:val="20"/>
        </w:rPr>
        <w:t xml:space="preserve">La </w:t>
      </w:r>
      <w:r w:rsidRPr="00C935F5">
        <w:rPr>
          <w:rFonts w:ascii="Arial" w:hAnsi="Arial" w:cs="Arial"/>
          <w:b/>
          <w:sz w:val="20"/>
          <w:szCs w:val="20"/>
        </w:rPr>
        <w:t>economía circular</w:t>
      </w:r>
      <w:r w:rsidRPr="008A2698">
        <w:rPr>
          <w:rFonts w:ascii="Arial" w:hAnsi="Arial" w:cs="Arial"/>
          <w:sz w:val="20"/>
          <w:szCs w:val="20"/>
        </w:rPr>
        <w:t xml:space="preserve"> es un concepto </w:t>
      </w:r>
      <w:r w:rsidR="00FF4AD7" w:rsidRPr="008A2698">
        <w:rPr>
          <w:rFonts w:ascii="Arial" w:hAnsi="Arial" w:cs="Arial"/>
          <w:sz w:val="20"/>
          <w:szCs w:val="20"/>
        </w:rPr>
        <w:t>económico</w:t>
      </w:r>
      <w:r w:rsidR="00FF4AD7">
        <w:rPr>
          <w:rFonts w:ascii="Arial" w:hAnsi="Arial" w:cs="Arial"/>
          <w:sz w:val="20"/>
          <w:szCs w:val="20"/>
        </w:rPr>
        <w:t xml:space="preserve"> social</w:t>
      </w:r>
      <w:r w:rsidRPr="008A2698">
        <w:rPr>
          <w:rFonts w:ascii="Arial" w:hAnsi="Arial" w:cs="Arial"/>
          <w:sz w:val="20"/>
          <w:szCs w:val="20"/>
        </w:rPr>
        <w:t xml:space="preserve"> que se interrelaciona con la sostenibilidad, y cuyo objetivo es que el valor de los productos, los materiales y los recursos (agua, energía,…) se mantenga en la economía durante el mayor tiempo posible, y que se reduzca al mínimo la generación de residuos. Se trata de implementar una nueva economía, circular -no lineal-, basada en el principio de «cerrar el ciclo de vida» de los productos, los servicios, los residuos, los materiales, el agua y la energía.</w:t>
      </w:r>
    </w:p>
    <w:p w:rsidR="00850B66" w:rsidRDefault="00850B66" w:rsidP="008A2698">
      <w:pPr>
        <w:jc w:val="both"/>
        <w:rPr>
          <w:rFonts w:ascii="Arial" w:hAnsi="Arial" w:cs="Arial"/>
          <w:sz w:val="20"/>
          <w:szCs w:val="20"/>
        </w:rPr>
      </w:pPr>
    </w:p>
    <w:p w:rsidR="008A2698" w:rsidRDefault="00850B66" w:rsidP="008A2698">
      <w:pPr>
        <w:jc w:val="both"/>
        <w:rPr>
          <w:rFonts w:ascii="Arial" w:hAnsi="Arial" w:cs="Arial"/>
          <w:sz w:val="20"/>
          <w:szCs w:val="20"/>
        </w:rPr>
      </w:pPr>
      <w:r w:rsidRPr="00850B66">
        <w:rPr>
          <w:rFonts w:ascii="Arial" w:hAnsi="Arial" w:cs="Arial"/>
          <w:sz w:val="20"/>
          <w:szCs w:val="20"/>
        </w:rPr>
        <w:t>Además del beneficio que supone la reutilización de las materias primas y la reducción de uso de los recursos naturales, es un sistema que mejora la competitividad de las empresas ya que impulsa la innovación y ofrece nuevas oportunidades de negocio.</w:t>
      </w:r>
      <w:r>
        <w:rPr>
          <w:rFonts w:ascii="Arial" w:hAnsi="Arial" w:cs="Arial"/>
          <w:sz w:val="20"/>
          <w:szCs w:val="20"/>
        </w:rPr>
        <w:t xml:space="preserve"> </w:t>
      </w:r>
      <w:r w:rsidR="008A2698" w:rsidRPr="008A2698">
        <w:rPr>
          <w:rFonts w:ascii="Arial" w:hAnsi="Arial" w:cs="Arial"/>
          <w:sz w:val="20"/>
          <w:szCs w:val="20"/>
        </w:rPr>
        <w:t>Finalmente, este sistema es un sistema generador de empleo local y no deslocalizable.</w:t>
      </w:r>
    </w:p>
    <w:p w:rsidR="008A2698" w:rsidRDefault="008A2698" w:rsidP="008A2698">
      <w:pPr>
        <w:jc w:val="both"/>
        <w:rPr>
          <w:rFonts w:ascii="Arial" w:hAnsi="Arial" w:cs="Arial"/>
          <w:sz w:val="20"/>
          <w:szCs w:val="20"/>
        </w:rPr>
      </w:pPr>
    </w:p>
    <w:p w:rsidR="008A2698" w:rsidRDefault="00A74DCC" w:rsidP="008A2698">
      <w:pPr>
        <w:jc w:val="both"/>
        <w:rPr>
          <w:rFonts w:ascii="Arial" w:hAnsi="Arial" w:cs="Arial"/>
          <w:sz w:val="20"/>
          <w:szCs w:val="20"/>
        </w:rPr>
      </w:pPr>
      <w:bookmarkStart w:id="0" w:name="_GoBack"/>
      <w:r>
        <w:rPr>
          <w:rFonts w:ascii="Arial" w:hAnsi="Arial" w:cs="Arial"/>
          <w:sz w:val="20"/>
          <w:szCs w:val="20"/>
        </w:rPr>
        <w:t xml:space="preserve">En este contexto, la </w:t>
      </w:r>
      <w:r w:rsidRPr="00C935F5">
        <w:rPr>
          <w:rFonts w:ascii="Arial" w:hAnsi="Arial" w:cs="Arial"/>
          <w:b/>
          <w:sz w:val="20"/>
          <w:szCs w:val="20"/>
        </w:rPr>
        <w:t xml:space="preserve">Cámara de Comercio de </w:t>
      </w:r>
      <w:r w:rsidR="000103EF">
        <w:rPr>
          <w:rFonts w:ascii="Arial" w:hAnsi="Arial" w:cs="Arial"/>
          <w:b/>
          <w:sz w:val="20"/>
          <w:szCs w:val="20"/>
        </w:rPr>
        <w:t>Álava</w:t>
      </w:r>
      <w:r>
        <w:rPr>
          <w:rFonts w:ascii="Arial" w:hAnsi="Arial" w:cs="Arial"/>
          <w:sz w:val="20"/>
          <w:szCs w:val="20"/>
        </w:rPr>
        <w:t>, junto al resto de Cámaras vascas, ha realizado una encuesta entre las empresas de su demarcación intentando conocer la permeabilidad y puesta en práctica de este concepto entre las mismas.</w:t>
      </w:r>
      <w:r w:rsidR="00FF4AD7" w:rsidRPr="00FF4AD7">
        <w:t xml:space="preserve"> </w:t>
      </w:r>
      <w:r w:rsidR="00FF4AD7" w:rsidRPr="00FF4AD7">
        <w:rPr>
          <w:rFonts w:ascii="Arial" w:hAnsi="Arial" w:cs="Arial"/>
          <w:sz w:val="20"/>
          <w:szCs w:val="20"/>
        </w:rPr>
        <w:t>Los resultados obtenidos son fruto de las respuestas de 205 empresas, de las que 74 son Industrias, 21 pertenecen al sector de la Construcción, 33 al Comercio y 77 al sector Servicios (transporte, banca, seguros y consultorías).</w:t>
      </w:r>
      <w:bookmarkEnd w:id="0"/>
    </w:p>
    <w:p w:rsidR="000A7AF9" w:rsidRDefault="000A7AF9" w:rsidP="008A2698">
      <w:pPr>
        <w:jc w:val="both"/>
        <w:rPr>
          <w:rFonts w:ascii="Arial" w:hAnsi="Arial" w:cs="Arial"/>
          <w:sz w:val="20"/>
          <w:szCs w:val="20"/>
        </w:rPr>
      </w:pPr>
    </w:p>
    <w:p w:rsidR="00A74DCC" w:rsidRDefault="00563B54" w:rsidP="008A2698">
      <w:pPr>
        <w:jc w:val="both"/>
        <w:rPr>
          <w:rFonts w:ascii="Arial" w:hAnsi="Arial" w:cs="Arial"/>
          <w:sz w:val="20"/>
          <w:szCs w:val="20"/>
        </w:rPr>
      </w:pPr>
      <w:r>
        <w:rPr>
          <w:rFonts w:ascii="Arial" w:hAnsi="Arial" w:cs="Arial"/>
          <w:sz w:val="20"/>
          <w:szCs w:val="20"/>
        </w:rPr>
        <w:t xml:space="preserve">De este modo, un </w:t>
      </w:r>
      <w:r w:rsidR="00FE33C9">
        <w:rPr>
          <w:rFonts w:ascii="Arial" w:hAnsi="Arial" w:cs="Arial"/>
          <w:b/>
          <w:sz w:val="20"/>
          <w:szCs w:val="20"/>
        </w:rPr>
        <w:t>42,9</w:t>
      </w:r>
      <w:r w:rsidRPr="00C935F5">
        <w:rPr>
          <w:rFonts w:ascii="Arial" w:hAnsi="Arial" w:cs="Arial"/>
          <w:b/>
          <w:sz w:val="20"/>
          <w:szCs w:val="20"/>
        </w:rPr>
        <w:t>%</w:t>
      </w:r>
      <w:r>
        <w:rPr>
          <w:rFonts w:ascii="Arial" w:hAnsi="Arial" w:cs="Arial"/>
          <w:sz w:val="20"/>
          <w:szCs w:val="20"/>
        </w:rPr>
        <w:t xml:space="preserve"> de las empresas encuestadas </w:t>
      </w:r>
      <w:r w:rsidRPr="00C935F5">
        <w:rPr>
          <w:rFonts w:ascii="Arial" w:hAnsi="Arial" w:cs="Arial"/>
          <w:b/>
          <w:sz w:val="20"/>
          <w:szCs w:val="20"/>
        </w:rPr>
        <w:t>afirma conocer el significado del concepto “economía circular”</w:t>
      </w:r>
      <w:r>
        <w:rPr>
          <w:rFonts w:ascii="Arial" w:hAnsi="Arial" w:cs="Arial"/>
          <w:sz w:val="20"/>
          <w:szCs w:val="20"/>
        </w:rPr>
        <w:t xml:space="preserve">, un porcentaje que se eleva hasta el </w:t>
      </w:r>
      <w:r w:rsidR="00FE33C9">
        <w:rPr>
          <w:rFonts w:ascii="Arial" w:hAnsi="Arial" w:cs="Arial"/>
          <w:sz w:val="20"/>
          <w:szCs w:val="20"/>
        </w:rPr>
        <w:t>44</w:t>
      </w:r>
      <w:r>
        <w:rPr>
          <w:rFonts w:ascii="Arial" w:hAnsi="Arial" w:cs="Arial"/>
          <w:sz w:val="20"/>
          <w:szCs w:val="20"/>
        </w:rPr>
        <w:t>,</w:t>
      </w:r>
      <w:r w:rsidR="00FE33C9">
        <w:rPr>
          <w:rFonts w:ascii="Arial" w:hAnsi="Arial" w:cs="Arial"/>
          <w:sz w:val="20"/>
          <w:szCs w:val="20"/>
        </w:rPr>
        <w:t>2</w:t>
      </w:r>
      <w:r>
        <w:rPr>
          <w:rFonts w:ascii="Arial" w:hAnsi="Arial" w:cs="Arial"/>
          <w:sz w:val="20"/>
          <w:szCs w:val="20"/>
        </w:rPr>
        <w:t xml:space="preserve">% para el conjunto de la industria y la construcción y se queda en el </w:t>
      </w:r>
      <w:r w:rsidR="00FE33C9">
        <w:rPr>
          <w:rFonts w:ascii="Arial" w:hAnsi="Arial" w:cs="Arial"/>
          <w:sz w:val="20"/>
          <w:szCs w:val="20"/>
        </w:rPr>
        <w:t>41</w:t>
      </w:r>
      <w:r>
        <w:rPr>
          <w:rFonts w:ascii="Arial" w:hAnsi="Arial" w:cs="Arial"/>
          <w:sz w:val="20"/>
          <w:szCs w:val="20"/>
        </w:rPr>
        <w:t>,</w:t>
      </w:r>
      <w:r w:rsidR="00FE33C9">
        <w:rPr>
          <w:rFonts w:ascii="Arial" w:hAnsi="Arial" w:cs="Arial"/>
          <w:sz w:val="20"/>
          <w:szCs w:val="20"/>
        </w:rPr>
        <w:t>8</w:t>
      </w:r>
      <w:r>
        <w:rPr>
          <w:rFonts w:ascii="Arial" w:hAnsi="Arial" w:cs="Arial"/>
          <w:sz w:val="20"/>
          <w:szCs w:val="20"/>
        </w:rPr>
        <w:t>% para el sector de servicios.</w:t>
      </w:r>
    </w:p>
    <w:p w:rsidR="00FE33C9" w:rsidRDefault="00FE33C9" w:rsidP="008A2698">
      <w:pPr>
        <w:jc w:val="both"/>
        <w:rPr>
          <w:rFonts w:ascii="Arial" w:hAnsi="Arial" w:cs="Arial"/>
          <w:sz w:val="20"/>
          <w:szCs w:val="20"/>
        </w:rPr>
      </w:pPr>
    </w:p>
    <w:p w:rsidR="00510F56" w:rsidRDefault="00510F56" w:rsidP="008A2698">
      <w:pPr>
        <w:jc w:val="both"/>
        <w:rPr>
          <w:rFonts w:ascii="Arial" w:hAnsi="Arial" w:cs="Arial"/>
          <w:sz w:val="20"/>
          <w:szCs w:val="20"/>
        </w:rPr>
      </w:pPr>
    </w:p>
    <w:p w:rsidR="00510F56" w:rsidRDefault="00510F56" w:rsidP="008A2698">
      <w:pPr>
        <w:jc w:val="both"/>
        <w:rPr>
          <w:rFonts w:ascii="Arial" w:hAnsi="Arial" w:cs="Arial"/>
          <w:sz w:val="20"/>
          <w:szCs w:val="20"/>
        </w:rPr>
      </w:pPr>
    </w:p>
    <w:p w:rsidR="00510F56" w:rsidRDefault="00510F56" w:rsidP="008A2698">
      <w:pPr>
        <w:jc w:val="both"/>
        <w:rPr>
          <w:rFonts w:ascii="Arial" w:hAnsi="Arial" w:cs="Arial"/>
          <w:sz w:val="20"/>
          <w:szCs w:val="20"/>
        </w:rPr>
      </w:pPr>
    </w:p>
    <w:p w:rsidR="00510F56" w:rsidRDefault="00510F56" w:rsidP="008A2698">
      <w:pPr>
        <w:jc w:val="both"/>
        <w:rPr>
          <w:rFonts w:ascii="Arial" w:hAnsi="Arial" w:cs="Arial"/>
          <w:sz w:val="20"/>
          <w:szCs w:val="20"/>
        </w:rPr>
      </w:pPr>
    </w:p>
    <w:p w:rsidR="00510F56" w:rsidRDefault="00510F56" w:rsidP="008A2698">
      <w:pPr>
        <w:jc w:val="both"/>
        <w:rPr>
          <w:rFonts w:ascii="Arial" w:hAnsi="Arial" w:cs="Arial"/>
          <w:sz w:val="20"/>
          <w:szCs w:val="20"/>
        </w:rPr>
      </w:pPr>
    </w:p>
    <w:p w:rsidR="00FE33C9" w:rsidRPr="00510F56" w:rsidRDefault="00FE33C9" w:rsidP="000A7AF9">
      <w:pPr>
        <w:jc w:val="center"/>
        <w:rPr>
          <w:rFonts w:cstheme="minorHAnsi"/>
          <w:b/>
          <w:sz w:val="28"/>
          <w:szCs w:val="20"/>
        </w:rPr>
      </w:pPr>
      <w:r w:rsidRPr="00510F56">
        <w:rPr>
          <w:rFonts w:cstheme="minorHAnsi"/>
          <w:b/>
          <w:sz w:val="28"/>
          <w:szCs w:val="20"/>
        </w:rPr>
        <w:t>¿CONOCE EL SIGNIFICADO DEL CONCEPTO “ECONOMÍA CIRCULAR”?</w:t>
      </w:r>
    </w:p>
    <w:p w:rsidR="00F7327C" w:rsidRDefault="00F7327C" w:rsidP="008A2698">
      <w:pPr>
        <w:jc w:val="both"/>
        <w:rPr>
          <w:rFonts w:ascii="Arial" w:hAnsi="Arial" w:cs="Arial"/>
          <w:sz w:val="20"/>
          <w:szCs w:val="20"/>
        </w:rPr>
      </w:pPr>
    </w:p>
    <w:p w:rsidR="00F7327C" w:rsidRDefault="00F1536B" w:rsidP="008A2698">
      <w:pPr>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60288" behindDoc="0" locked="0" layoutInCell="1" allowOverlap="1" wp14:anchorId="5BF01213" wp14:editId="23F242D0">
            <wp:simplePos x="0" y="0"/>
            <wp:positionH relativeFrom="margin">
              <wp:align>right</wp:align>
            </wp:positionH>
            <wp:positionV relativeFrom="paragraph">
              <wp:posOffset>1304290</wp:posOffset>
            </wp:positionV>
            <wp:extent cx="1543050" cy="1285875"/>
            <wp:effectExtent l="0" t="0" r="0" b="9525"/>
            <wp:wrapSquare wrapText="bothSides"/>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ES"/>
        </w:rPr>
        <w:drawing>
          <wp:anchor distT="0" distB="0" distL="114300" distR="114300" simplePos="0" relativeHeight="251658240" behindDoc="0" locked="0" layoutInCell="1" allowOverlap="1" wp14:anchorId="251D18F4" wp14:editId="68530C4C">
            <wp:simplePos x="0" y="0"/>
            <wp:positionH relativeFrom="margin">
              <wp:align>right</wp:align>
            </wp:positionH>
            <wp:positionV relativeFrom="paragraph">
              <wp:posOffset>3810</wp:posOffset>
            </wp:positionV>
            <wp:extent cx="1543050" cy="1285875"/>
            <wp:effectExtent l="0" t="0" r="0" b="9525"/>
            <wp:wrapSquare wrapText="bothSides"/>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393996">
        <w:rPr>
          <w:rFonts w:ascii="Arial" w:hAnsi="Arial" w:cs="Arial"/>
          <w:noProof/>
          <w:sz w:val="20"/>
          <w:szCs w:val="20"/>
          <w:lang w:eastAsia="es-ES"/>
        </w:rPr>
        <w:drawing>
          <wp:inline distT="0" distB="0" distL="0" distR="0" wp14:anchorId="0C19A4E5" wp14:editId="4ED78D48">
            <wp:extent cx="3667125" cy="25431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3996" w:rsidRDefault="00393996" w:rsidP="008A2698">
      <w:pPr>
        <w:jc w:val="both"/>
        <w:rPr>
          <w:rFonts w:ascii="Arial" w:hAnsi="Arial" w:cs="Arial"/>
          <w:sz w:val="20"/>
          <w:szCs w:val="20"/>
        </w:rPr>
      </w:pPr>
    </w:p>
    <w:p w:rsidR="00510F56" w:rsidRDefault="00510F56" w:rsidP="008A2698">
      <w:pPr>
        <w:jc w:val="both"/>
        <w:rPr>
          <w:rFonts w:ascii="Arial" w:hAnsi="Arial" w:cs="Arial"/>
          <w:sz w:val="20"/>
          <w:szCs w:val="20"/>
        </w:rPr>
      </w:pPr>
    </w:p>
    <w:p w:rsidR="00510F56" w:rsidRDefault="00510F56" w:rsidP="008A2698">
      <w:pPr>
        <w:jc w:val="both"/>
        <w:rPr>
          <w:rFonts w:ascii="Arial" w:hAnsi="Arial" w:cs="Arial"/>
          <w:sz w:val="20"/>
          <w:szCs w:val="20"/>
        </w:rPr>
      </w:pPr>
    </w:p>
    <w:p w:rsidR="00563B54" w:rsidRDefault="007008B3" w:rsidP="008A2698">
      <w:pPr>
        <w:jc w:val="both"/>
        <w:rPr>
          <w:rFonts w:ascii="Arial" w:hAnsi="Arial" w:cs="Arial"/>
          <w:sz w:val="20"/>
          <w:szCs w:val="20"/>
        </w:rPr>
      </w:pPr>
      <w:r>
        <w:rPr>
          <w:rFonts w:ascii="Arial" w:hAnsi="Arial" w:cs="Arial"/>
          <w:sz w:val="20"/>
          <w:szCs w:val="20"/>
        </w:rPr>
        <w:t xml:space="preserve">Un </w:t>
      </w:r>
      <w:r w:rsidRPr="00C935F5">
        <w:rPr>
          <w:rFonts w:ascii="Arial" w:hAnsi="Arial" w:cs="Arial"/>
          <w:b/>
          <w:sz w:val="20"/>
          <w:szCs w:val="20"/>
        </w:rPr>
        <w:t>6</w:t>
      </w:r>
      <w:r w:rsidR="00D20FD8">
        <w:rPr>
          <w:rFonts w:ascii="Arial" w:hAnsi="Arial" w:cs="Arial"/>
          <w:b/>
          <w:sz w:val="20"/>
          <w:szCs w:val="20"/>
        </w:rPr>
        <w:t>0,5</w:t>
      </w:r>
      <w:r w:rsidRPr="00C935F5">
        <w:rPr>
          <w:rFonts w:ascii="Arial" w:hAnsi="Arial" w:cs="Arial"/>
          <w:b/>
          <w:sz w:val="20"/>
          <w:szCs w:val="20"/>
        </w:rPr>
        <w:t>%</w:t>
      </w:r>
      <w:r>
        <w:rPr>
          <w:rFonts w:ascii="Arial" w:hAnsi="Arial" w:cs="Arial"/>
          <w:sz w:val="20"/>
          <w:szCs w:val="20"/>
        </w:rPr>
        <w:t xml:space="preserve"> de las empresas consultadas </w:t>
      </w:r>
      <w:r w:rsidRPr="00C935F5">
        <w:rPr>
          <w:rFonts w:ascii="Arial" w:hAnsi="Arial" w:cs="Arial"/>
          <w:b/>
          <w:sz w:val="20"/>
          <w:szCs w:val="20"/>
        </w:rPr>
        <w:t>han aplicado durante 2017 y 2018 medidas para la so</w:t>
      </w:r>
      <w:r w:rsidR="00E4687F">
        <w:rPr>
          <w:rFonts w:ascii="Arial" w:hAnsi="Arial" w:cs="Arial"/>
          <w:b/>
          <w:sz w:val="20"/>
          <w:szCs w:val="20"/>
        </w:rPr>
        <w:t>s</w:t>
      </w:r>
      <w:r w:rsidRPr="00C935F5">
        <w:rPr>
          <w:rFonts w:ascii="Arial" w:hAnsi="Arial" w:cs="Arial"/>
          <w:b/>
          <w:sz w:val="20"/>
          <w:szCs w:val="20"/>
        </w:rPr>
        <w:t>tenibilidad ambiental</w:t>
      </w:r>
      <w:r>
        <w:rPr>
          <w:rFonts w:ascii="Arial" w:hAnsi="Arial" w:cs="Arial"/>
          <w:sz w:val="20"/>
          <w:szCs w:val="20"/>
        </w:rPr>
        <w:t xml:space="preserve"> (por ejemplo, reducción de emisiones y contaminantes, reciclado, utilización de subproductos…). Y, aunque otro 1</w:t>
      </w:r>
      <w:r w:rsidR="00D20FD8">
        <w:rPr>
          <w:rFonts w:ascii="Arial" w:hAnsi="Arial" w:cs="Arial"/>
          <w:sz w:val="20"/>
          <w:szCs w:val="20"/>
        </w:rPr>
        <w:t>7</w:t>
      </w:r>
      <w:r>
        <w:rPr>
          <w:rFonts w:ascii="Arial" w:hAnsi="Arial" w:cs="Arial"/>
          <w:sz w:val="20"/>
          <w:szCs w:val="20"/>
        </w:rPr>
        <w:t>,</w:t>
      </w:r>
      <w:r w:rsidR="00D20FD8">
        <w:rPr>
          <w:rFonts w:ascii="Arial" w:hAnsi="Arial" w:cs="Arial"/>
          <w:sz w:val="20"/>
          <w:szCs w:val="20"/>
        </w:rPr>
        <w:t>1</w:t>
      </w:r>
      <w:r>
        <w:rPr>
          <w:rFonts w:ascii="Arial" w:hAnsi="Arial" w:cs="Arial"/>
          <w:sz w:val="20"/>
          <w:szCs w:val="20"/>
        </w:rPr>
        <w:t>% no lo ha hecho, sí se ha planteado hacerlo. En este caso también el porcentaje afirmativo es más elevado entre el grupo formado por la industria y la construcción (64,5%) pero con una escasa diferencia ya que un 62,1% de las empresas de servicios también contestan afirmativamente.</w:t>
      </w:r>
    </w:p>
    <w:p w:rsidR="00510F56" w:rsidRDefault="00510F56" w:rsidP="008A2698">
      <w:pPr>
        <w:jc w:val="both"/>
        <w:rPr>
          <w:rFonts w:ascii="Arial" w:hAnsi="Arial" w:cs="Arial"/>
          <w:sz w:val="20"/>
          <w:szCs w:val="20"/>
        </w:rPr>
      </w:pPr>
    </w:p>
    <w:p w:rsidR="00510F56" w:rsidRDefault="00510F56" w:rsidP="008A2698">
      <w:pPr>
        <w:jc w:val="both"/>
        <w:rPr>
          <w:rFonts w:ascii="Arial" w:hAnsi="Arial" w:cs="Arial"/>
          <w:sz w:val="20"/>
          <w:szCs w:val="20"/>
        </w:rPr>
      </w:pPr>
    </w:p>
    <w:p w:rsidR="00F1536B" w:rsidRDefault="00F1536B" w:rsidP="008A2698">
      <w:pPr>
        <w:jc w:val="both"/>
        <w:rPr>
          <w:rFonts w:ascii="Arial" w:hAnsi="Arial" w:cs="Arial"/>
          <w:sz w:val="20"/>
          <w:szCs w:val="20"/>
        </w:rPr>
      </w:pPr>
    </w:p>
    <w:p w:rsidR="00F1536B" w:rsidRPr="00510F56" w:rsidRDefault="00F1536B" w:rsidP="00F1536B">
      <w:pPr>
        <w:jc w:val="center"/>
        <w:rPr>
          <w:rFonts w:cstheme="minorHAnsi"/>
          <w:b/>
          <w:sz w:val="28"/>
          <w:szCs w:val="20"/>
        </w:rPr>
      </w:pPr>
      <w:r w:rsidRPr="00510F56">
        <w:rPr>
          <w:rFonts w:cstheme="minorHAnsi"/>
          <w:b/>
          <w:sz w:val="28"/>
          <w:szCs w:val="20"/>
        </w:rPr>
        <w:t>DURANTE 2017 Y 2018 ¿SE HAN APLICADO EN SU EMPRESA MEDIDAS DE SOSTENIBILIDAD MEDIOAMBIENTAL?</w:t>
      </w:r>
    </w:p>
    <w:p w:rsidR="00F1536B" w:rsidRDefault="00F1536B" w:rsidP="00F1536B">
      <w:pPr>
        <w:jc w:val="both"/>
        <w:rPr>
          <w:rFonts w:ascii="Arial" w:hAnsi="Arial" w:cs="Arial"/>
          <w:sz w:val="20"/>
          <w:szCs w:val="20"/>
        </w:rPr>
      </w:pPr>
    </w:p>
    <w:p w:rsidR="00F1536B" w:rsidRDefault="00F1536B" w:rsidP="00F1536B">
      <w:pPr>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65408" behindDoc="0" locked="0" layoutInCell="1" allowOverlap="1" wp14:anchorId="1A8381EA" wp14:editId="421BBD48">
            <wp:simplePos x="0" y="0"/>
            <wp:positionH relativeFrom="margin">
              <wp:align>right</wp:align>
            </wp:positionH>
            <wp:positionV relativeFrom="paragraph">
              <wp:posOffset>1304290</wp:posOffset>
            </wp:positionV>
            <wp:extent cx="1543050" cy="1285875"/>
            <wp:effectExtent l="0" t="0" r="0" b="9525"/>
            <wp:wrapSquare wrapText="bothSides"/>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ES"/>
        </w:rPr>
        <w:drawing>
          <wp:anchor distT="0" distB="0" distL="114300" distR="114300" simplePos="0" relativeHeight="251664384" behindDoc="0" locked="0" layoutInCell="1" allowOverlap="1" wp14:anchorId="3D3953BD" wp14:editId="5B4E58AB">
            <wp:simplePos x="0" y="0"/>
            <wp:positionH relativeFrom="margin">
              <wp:align>right</wp:align>
            </wp:positionH>
            <wp:positionV relativeFrom="paragraph">
              <wp:posOffset>3810</wp:posOffset>
            </wp:positionV>
            <wp:extent cx="1543050" cy="1285875"/>
            <wp:effectExtent l="0" t="0" r="0" b="9525"/>
            <wp:wrapSquare wrapText="bothSides"/>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ES"/>
        </w:rPr>
        <w:drawing>
          <wp:inline distT="0" distB="0" distL="0" distR="0" wp14:anchorId="67AC7E3F" wp14:editId="5F7426D4">
            <wp:extent cx="3667125" cy="2543175"/>
            <wp:effectExtent l="0" t="0" r="9525" b="952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3C56" w:rsidRDefault="004B2706" w:rsidP="008A2698">
      <w:pPr>
        <w:jc w:val="both"/>
        <w:rPr>
          <w:rFonts w:ascii="Arial" w:hAnsi="Arial" w:cs="Arial"/>
          <w:sz w:val="20"/>
          <w:szCs w:val="20"/>
        </w:rPr>
      </w:pPr>
      <w:r>
        <w:rPr>
          <w:rFonts w:ascii="Arial" w:hAnsi="Arial" w:cs="Arial"/>
          <w:sz w:val="20"/>
          <w:szCs w:val="20"/>
        </w:rPr>
        <w:lastRenderedPageBreak/>
        <w:t xml:space="preserve">La </w:t>
      </w:r>
      <w:r w:rsidRPr="00C935F5">
        <w:rPr>
          <w:rFonts w:ascii="Arial" w:hAnsi="Arial" w:cs="Arial"/>
          <w:b/>
          <w:sz w:val="20"/>
          <w:szCs w:val="20"/>
        </w:rPr>
        <w:t>reutilización o reciclado de residuos generados en la propia empresa</w:t>
      </w:r>
      <w:r>
        <w:rPr>
          <w:rFonts w:ascii="Arial" w:hAnsi="Arial" w:cs="Arial"/>
          <w:sz w:val="20"/>
          <w:szCs w:val="20"/>
        </w:rPr>
        <w:t xml:space="preserve"> se considera como la </w:t>
      </w:r>
      <w:r w:rsidRPr="00C935F5">
        <w:rPr>
          <w:rFonts w:ascii="Arial" w:hAnsi="Arial" w:cs="Arial"/>
          <w:b/>
          <w:sz w:val="20"/>
          <w:szCs w:val="20"/>
        </w:rPr>
        <w:t>acción empresarial más interesante</w:t>
      </w:r>
      <w:r>
        <w:rPr>
          <w:rFonts w:ascii="Arial" w:hAnsi="Arial" w:cs="Arial"/>
          <w:sz w:val="20"/>
          <w:szCs w:val="20"/>
        </w:rPr>
        <w:t xml:space="preserve"> entre las relacionadas con la sostenibilidad (</w:t>
      </w:r>
      <w:r w:rsidR="006566F3">
        <w:rPr>
          <w:rFonts w:ascii="Arial" w:hAnsi="Arial" w:cs="Arial"/>
          <w:sz w:val="20"/>
          <w:szCs w:val="20"/>
        </w:rPr>
        <w:t>55</w:t>
      </w:r>
      <w:r>
        <w:rPr>
          <w:rFonts w:ascii="Arial" w:hAnsi="Arial" w:cs="Arial"/>
          <w:sz w:val="20"/>
          <w:szCs w:val="20"/>
        </w:rPr>
        <w:t>,</w:t>
      </w:r>
      <w:r w:rsidR="006566F3">
        <w:rPr>
          <w:rFonts w:ascii="Arial" w:hAnsi="Arial" w:cs="Arial"/>
          <w:sz w:val="20"/>
          <w:szCs w:val="20"/>
        </w:rPr>
        <w:t>1</w:t>
      </w:r>
      <w:r>
        <w:rPr>
          <w:rFonts w:ascii="Arial" w:hAnsi="Arial" w:cs="Arial"/>
          <w:sz w:val="20"/>
          <w:szCs w:val="20"/>
        </w:rPr>
        <w:t>%)</w:t>
      </w:r>
      <w:r w:rsidR="00BA23C6">
        <w:rPr>
          <w:rFonts w:ascii="Arial" w:hAnsi="Arial" w:cs="Arial"/>
          <w:sz w:val="20"/>
          <w:szCs w:val="20"/>
        </w:rPr>
        <w:t xml:space="preserve">, a continuación se sitúa, con un </w:t>
      </w:r>
      <w:r w:rsidR="006566F3">
        <w:rPr>
          <w:rFonts w:ascii="Arial" w:hAnsi="Arial" w:cs="Arial"/>
          <w:sz w:val="20"/>
          <w:szCs w:val="20"/>
        </w:rPr>
        <w:t>50</w:t>
      </w:r>
      <w:r w:rsidR="00BA23C6">
        <w:rPr>
          <w:rFonts w:ascii="Arial" w:hAnsi="Arial" w:cs="Arial"/>
          <w:sz w:val="20"/>
          <w:szCs w:val="20"/>
        </w:rPr>
        <w:t>,</w:t>
      </w:r>
      <w:r w:rsidR="006566F3">
        <w:rPr>
          <w:rFonts w:ascii="Arial" w:hAnsi="Arial" w:cs="Arial"/>
          <w:sz w:val="20"/>
          <w:szCs w:val="20"/>
        </w:rPr>
        <w:t>7</w:t>
      </w:r>
      <w:r w:rsidR="00BA23C6">
        <w:rPr>
          <w:rFonts w:ascii="Arial" w:hAnsi="Arial" w:cs="Arial"/>
          <w:sz w:val="20"/>
          <w:szCs w:val="20"/>
        </w:rPr>
        <w:t>%, la inversión para la mejora de la eficiencia energética de la empresa, entre las que se encuentran las auditorías energéticas, control de consumo energético, cambio de luminarias, mejora de aislamiento entre otras. Con un 3</w:t>
      </w:r>
      <w:r w:rsidR="006566F3">
        <w:rPr>
          <w:rFonts w:ascii="Arial" w:hAnsi="Arial" w:cs="Arial"/>
          <w:sz w:val="20"/>
          <w:szCs w:val="20"/>
        </w:rPr>
        <w:t>5</w:t>
      </w:r>
      <w:r w:rsidR="00BA23C6">
        <w:rPr>
          <w:rFonts w:ascii="Arial" w:hAnsi="Arial" w:cs="Arial"/>
          <w:sz w:val="20"/>
          <w:szCs w:val="20"/>
        </w:rPr>
        <w:t xml:space="preserve">,6% se sitúa en tercer lugar la incorporación de prácticas energéticas para la sostenibilidad medioambiental como, por ejemplo, son la utilización de energías renovables y la concienciación de los empleados. </w:t>
      </w:r>
    </w:p>
    <w:p w:rsidR="0050190A" w:rsidRDefault="0050190A" w:rsidP="008A2698">
      <w:pPr>
        <w:jc w:val="both"/>
        <w:rPr>
          <w:rFonts w:ascii="Arial" w:hAnsi="Arial" w:cs="Arial"/>
          <w:sz w:val="20"/>
          <w:szCs w:val="20"/>
        </w:rPr>
      </w:pPr>
    </w:p>
    <w:p w:rsidR="0050190A" w:rsidRDefault="0050190A" w:rsidP="008A2698">
      <w:pPr>
        <w:jc w:val="both"/>
        <w:rPr>
          <w:rFonts w:ascii="Arial" w:hAnsi="Arial" w:cs="Arial"/>
          <w:sz w:val="20"/>
          <w:szCs w:val="20"/>
        </w:rPr>
      </w:pPr>
      <w:r>
        <w:rPr>
          <w:rFonts w:ascii="Arial" w:hAnsi="Arial" w:cs="Arial"/>
          <w:noProof/>
          <w:sz w:val="20"/>
          <w:szCs w:val="20"/>
          <w:lang w:eastAsia="es-ES"/>
        </w:rPr>
        <w:drawing>
          <wp:inline distT="0" distB="0" distL="0" distR="0">
            <wp:extent cx="5400040" cy="3150235"/>
            <wp:effectExtent l="0" t="0" r="1016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327C" w:rsidRDefault="00F7327C" w:rsidP="008A2698">
      <w:pPr>
        <w:jc w:val="both"/>
        <w:rPr>
          <w:rFonts w:ascii="Arial" w:hAnsi="Arial" w:cs="Arial"/>
          <w:sz w:val="20"/>
          <w:szCs w:val="20"/>
        </w:rPr>
      </w:pPr>
    </w:p>
    <w:p w:rsidR="00510F56" w:rsidRDefault="00BA23C6" w:rsidP="008A2698">
      <w:pPr>
        <w:jc w:val="both"/>
        <w:rPr>
          <w:rFonts w:ascii="Arial" w:hAnsi="Arial" w:cs="Arial"/>
          <w:sz w:val="20"/>
          <w:szCs w:val="20"/>
        </w:rPr>
      </w:pPr>
      <w:r>
        <w:rPr>
          <w:rFonts w:ascii="Arial" w:hAnsi="Arial" w:cs="Arial"/>
          <w:sz w:val="20"/>
          <w:szCs w:val="20"/>
        </w:rPr>
        <w:t xml:space="preserve">Como </w:t>
      </w:r>
      <w:r w:rsidRPr="00C935F5">
        <w:rPr>
          <w:rFonts w:ascii="Arial" w:hAnsi="Arial" w:cs="Arial"/>
          <w:b/>
          <w:sz w:val="20"/>
          <w:szCs w:val="20"/>
        </w:rPr>
        <w:t>principal obstáculo</w:t>
      </w:r>
      <w:r>
        <w:rPr>
          <w:rFonts w:ascii="Arial" w:hAnsi="Arial" w:cs="Arial"/>
          <w:sz w:val="20"/>
          <w:szCs w:val="20"/>
        </w:rPr>
        <w:t xml:space="preserve"> que dificulta la puesta en marcha de medidas para mejorar la sostenibili</w:t>
      </w:r>
      <w:r w:rsidR="006566F3">
        <w:rPr>
          <w:rFonts w:ascii="Arial" w:hAnsi="Arial" w:cs="Arial"/>
          <w:sz w:val="20"/>
          <w:szCs w:val="20"/>
        </w:rPr>
        <w:t>dad ambiental del negocio, un 44</w:t>
      </w:r>
      <w:r>
        <w:rPr>
          <w:rFonts w:ascii="Arial" w:hAnsi="Arial" w:cs="Arial"/>
          <w:sz w:val="20"/>
          <w:szCs w:val="20"/>
        </w:rPr>
        <w:t>,</w:t>
      </w:r>
      <w:r w:rsidR="006566F3">
        <w:rPr>
          <w:rFonts w:ascii="Arial" w:hAnsi="Arial" w:cs="Arial"/>
          <w:sz w:val="20"/>
          <w:szCs w:val="20"/>
        </w:rPr>
        <w:t>9</w:t>
      </w:r>
      <w:r>
        <w:rPr>
          <w:rFonts w:ascii="Arial" w:hAnsi="Arial" w:cs="Arial"/>
          <w:sz w:val="20"/>
          <w:szCs w:val="20"/>
        </w:rPr>
        <w:t xml:space="preserve">% de las empresas señalan la </w:t>
      </w:r>
      <w:r w:rsidRPr="00C935F5">
        <w:rPr>
          <w:rFonts w:ascii="Arial" w:hAnsi="Arial" w:cs="Arial"/>
          <w:b/>
          <w:sz w:val="20"/>
          <w:szCs w:val="20"/>
        </w:rPr>
        <w:t>escasez de incentivos</w:t>
      </w:r>
      <w:r>
        <w:rPr>
          <w:rFonts w:ascii="Arial" w:hAnsi="Arial" w:cs="Arial"/>
          <w:sz w:val="20"/>
          <w:szCs w:val="20"/>
        </w:rPr>
        <w:t xml:space="preserve"> (ayudas, subvenciones, estímulos fiscales), en segundo lugar la situación coyuntural </w:t>
      </w:r>
      <w:r w:rsidR="006566F3">
        <w:rPr>
          <w:rFonts w:ascii="Arial" w:hAnsi="Arial" w:cs="Arial"/>
          <w:sz w:val="20"/>
          <w:szCs w:val="20"/>
        </w:rPr>
        <w:t>(33</w:t>
      </w:r>
      <w:r>
        <w:rPr>
          <w:rFonts w:ascii="Arial" w:hAnsi="Arial" w:cs="Arial"/>
          <w:sz w:val="20"/>
          <w:szCs w:val="20"/>
        </w:rPr>
        <w:t>,</w:t>
      </w:r>
      <w:r w:rsidR="006566F3">
        <w:rPr>
          <w:rFonts w:ascii="Arial" w:hAnsi="Arial" w:cs="Arial"/>
          <w:sz w:val="20"/>
          <w:szCs w:val="20"/>
        </w:rPr>
        <w:t>2</w:t>
      </w:r>
      <w:r>
        <w:rPr>
          <w:rFonts w:ascii="Arial" w:hAnsi="Arial" w:cs="Arial"/>
          <w:sz w:val="20"/>
          <w:szCs w:val="20"/>
        </w:rPr>
        <w:t>%) y en tercer puesto el aumento de los costes de producción o de prestación de servicios</w:t>
      </w:r>
      <w:r w:rsidR="00C935F5">
        <w:rPr>
          <w:rFonts w:ascii="Arial" w:hAnsi="Arial" w:cs="Arial"/>
          <w:sz w:val="20"/>
          <w:szCs w:val="20"/>
        </w:rPr>
        <w:t xml:space="preserve"> </w:t>
      </w:r>
      <w:r w:rsidR="006566F3">
        <w:rPr>
          <w:rFonts w:ascii="Arial" w:hAnsi="Arial" w:cs="Arial"/>
          <w:sz w:val="20"/>
          <w:szCs w:val="20"/>
        </w:rPr>
        <w:t>(32,7</w:t>
      </w:r>
      <w:r>
        <w:rPr>
          <w:rFonts w:ascii="Arial" w:hAnsi="Arial" w:cs="Arial"/>
          <w:sz w:val="20"/>
          <w:szCs w:val="20"/>
        </w:rPr>
        <w:t>%).</w:t>
      </w:r>
    </w:p>
    <w:p w:rsidR="00510F56" w:rsidRDefault="00510F56" w:rsidP="008A2698">
      <w:pPr>
        <w:jc w:val="both"/>
        <w:rPr>
          <w:rFonts w:ascii="Arial" w:hAnsi="Arial" w:cs="Arial"/>
          <w:sz w:val="20"/>
          <w:szCs w:val="20"/>
        </w:rPr>
      </w:pPr>
    </w:p>
    <w:p w:rsidR="008A2698" w:rsidRPr="008A2698" w:rsidRDefault="006566F3" w:rsidP="00510F56">
      <w:pPr>
        <w:jc w:val="center"/>
        <w:rPr>
          <w:rFonts w:ascii="Arial" w:hAnsi="Arial" w:cs="Arial"/>
          <w:sz w:val="20"/>
          <w:szCs w:val="20"/>
        </w:rPr>
      </w:pPr>
      <w:r>
        <w:rPr>
          <w:rFonts w:ascii="Arial" w:hAnsi="Arial" w:cs="Arial"/>
          <w:noProof/>
          <w:sz w:val="20"/>
          <w:szCs w:val="20"/>
          <w:lang w:eastAsia="es-ES"/>
        </w:rPr>
        <w:drawing>
          <wp:inline distT="0" distB="0" distL="0" distR="0" wp14:anchorId="4FF572EF" wp14:editId="1647230D">
            <wp:extent cx="5057775" cy="2847975"/>
            <wp:effectExtent l="0" t="0" r="952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8A2698" w:rsidRPr="008A2698" w:rsidSect="006570AE">
      <w:headerReference w:type="default" r:id="rId15"/>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3EF" w:rsidRDefault="000103EF" w:rsidP="000103EF">
      <w:r>
        <w:separator/>
      </w:r>
    </w:p>
  </w:endnote>
  <w:endnote w:type="continuationSeparator" w:id="0">
    <w:p w:rsidR="000103EF" w:rsidRDefault="000103EF" w:rsidP="0001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3EF" w:rsidRDefault="000103EF" w:rsidP="000103EF">
      <w:r>
        <w:separator/>
      </w:r>
    </w:p>
  </w:footnote>
  <w:footnote w:type="continuationSeparator" w:id="0">
    <w:p w:rsidR="000103EF" w:rsidRDefault="000103EF" w:rsidP="00010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78" w:rsidRDefault="00C00578">
    <w:pPr>
      <w:pStyle w:val="Encabezado"/>
    </w:pPr>
    <w:r>
      <w:rPr>
        <w:noProof/>
        <w:lang w:eastAsia="es-ES"/>
      </w:rPr>
      <w:drawing>
        <wp:inline distT="0" distB="0" distL="0" distR="0">
          <wp:extent cx="1371600" cy="1095375"/>
          <wp:effectExtent l="0" t="0" r="0" b="9525"/>
          <wp:docPr id="2" name="Imagen 2" descr="01LogoCámaradeÁlava-vertical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ámaradeÁlava-vertical_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95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98"/>
    <w:rsid w:val="000103EF"/>
    <w:rsid w:val="0006031B"/>
    <w:rsid w:val="000A7213"/>
    <w:rsid w:val="000A7AF9"/>
    <w:rsid w:val="00157508"/>
    <w:rsid w:val="00290238"/>
    <w:rsid w:val="002C3C56"/>
    <w:rsid w:val="00393996"/>
    <w:rsid w:val="004007BE"/>
    <w:rsid w:val="00410E97"/>
    <w:rsid w:val="00496240"/>
    <w:rsid w:val="004B2706"/>
    <w:rsid w:val="0050190A"/>
    <w:rsid w:val="00510F56"/>
    <w:rsid w:val="00516D9E"/>
    <w:rsid w:val="00563B54"/>
    <w:rsid w:val="005B4D6C"/>
    <w:rsid w:val="006566F3"/>
    <w:rsid w:val="006570AE"/>
    <w:rsid w:val="006646AB"/>
    <w:rsid w:val="006A207C"/>
    <w:rsid w:val="006D64F1"/>
    <w:rsid w:val="007008B3"/>
    <w:rsid w:val="00850B66"/>
    <w:rsid w:val="008A2698"/>
    <w:rsid w:val="008C500E"/>
    <w:rsid w:val="009020DC"/>
    <w:rsid w:val="009C4214"/>
    <w:rsid w:val="00A74DCC"/>
    <w:rsid w:val="00BA23C6"/>
    <w:rsid w:val="00BD6818"/>
    <w:rsid w:val="00C00578"/>
    <w:rsid w:val="00C12D8D"/>
    <w:rsid w:val="00C935F5"/>
    <w:rsid w:val="00D20FD8"/>
    <w:rsid w:val="00E01879"/>
    <w:rsid w:val="00E4687F"/>
    <w:rsid w:val="00E814D6"/>
    <w:rsid w:val="00F1536B"/>
    <w:rsid w:val="00F7327C"/>
    <w:rsid w:val="00FE33C9"/>
    <w:rsid w:val="00FF4A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AB270-158D-4596-805B-85EDFB93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2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327C"/>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27C"/>
    <w:rPr>
      <w:rFonts w:ascii="Tahoma" w:hAnsi="Tahoma" w:cs="Tahoma"/>
      <w:sz w:val="16"/>
      <w:szCs w:val="16"/>
    </w:rPr>
  </w:style>
  <w:style w:type="paragraph" w:styleId="Encabezado">
    <w:name w:val="header"/>
    <w:basedOn w:val="Normal"/>
    <w:link w:val="EncabezadoCar"/>
    <w:uiPriority w:val="99"/>
    <w:unhideWhenUsed/>
    <w:rsid w:val="000103EF"/>
    <w:pPr>
      <w:tabs>
        <w:tab w:val="center" w:pos="4252"/>
        <w:tab w:val="right" w:pos="8504"/>
      </w:tabs>
    </w:pPr>
  </w:style>
  <w:style w:type="character" w:customStyle="1" w:styleId="EncabezadoCar">
    <w:name w:val="Encabezado Car"/>
    <w:basedOn w:val="Fuentedeprrafopredeter"/>
    <w:link w:val="Encabezado"/>
    <w:uiPriority w:val="99"/>
    <w:rsid w:val="000103EF"/>
  </w:style>
  <w:style w:type="paragraph" w:styleId="Piedepgina">
    <w:name w:val="footer"/>
    <w:basedOn w:val="Normal"/>
    <w:link w:val="PiedepginaCar"/>
    <w:uiPriority w:val="99"/>
    <w:unhideWhenUsed/>
    <w:rsid w:val="000103EF"/>
    <w:pPr>
      <w:tabs>
        <w:tab w:val="center" w:pos="4252"/>
        <w:tab w:val="right" w:pos="8504"/>
      </w:tabs>
    </w:pPr>
  </w:style>
  <w:style w:type="character" w:customStyle="1" w:styleId="PiedepginaCar">
    <w:name w:val="Pie de página Car"/>
    <w:basedOn w:val="Fuentedeprrafopredeter"/>
    <w:link w:val="Piedepgina"/>
    <w:uiPriority w:val="99"/>
    <w:rsid w:val="000103EF"/>
  </w:style>
  <w:style w:type="table" w:styleId="Tablaconcuadrcula">
    <w:name w:val="Table Grid"/>
    <w:basedOn w:val="Tablanormal"/>
    <w:uiPriority w:val="59"/>
    <w:rsid w:val="006D6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50B66"/>
    <w:pPr>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50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mn-lt"/>
                <a:ea typeface="+mn-ea"/>
                <a:cs typeface="+mn-cs"/>
              </a:defRPr>
            </a:pPr>
            <a:r>
              <a:rPr lang="en-US" sz="1200"/>
              <a:t>Servicios</a:t>
            </a:r>
          </a:p>
        </c:rich>
      </c:tx>
      <c:layout/>
      <c:overlay val="0"/>
      <c:spPr>
        <a:noFill/>
        <a:ln>
          <a:noFill/>
        </a:ln>
        <a:effectLst/>
      </c:spPr>
      <c:txPr>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CONOCE EL SIGNIFICADO ECONOMÍA CIRCULAR? </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ES"/>
              </a:p>
            </c:txPr>
            <c:dLblPos val="out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Hoja1!$A$2:$A$4</c:f>
              <c:strCache>
                <c:ptCount val="3"/>
                <c:pt idx="0">
                  <c:v>Sí</c:v>
                </c:pt>
                <c:pt idx="1">
                  <c:v>No</c:v>
                </c:pt>
                <c:pt idx="2">
                  <c:v>Ns/Nc</c:v>
                </c:pt>
              </c:strCache>
            </c:strRef>
          </c:cat>
          <c:val>
            <c:numRef>
              <c:f>Hoja1!$B$2:$B$4</c:f>
              <c:numCache>
                <c:formatCode>General</c:formatCode>
                <c:ptCount val="3"/>
                <c:pt idx="0">
                  <c:v>46</c:v>
                </c:pt>
                <c:pt idx="1">
                  <c:v>57</c:v>
                </c:pt>
                <c:pt idx="2">
                  <c:v>7</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mn-lt"/>
                <a:ea typeface="+mn-ea"/>
                <a:cs typeface="+mn-cs"/>
              </a:defRPr>
            </a:pPr>
            <a:r>
              <a:rPr lang="en-US" sz="1200"/>
              <a:t>Industria y constr.</a:t>
            </a:r>
          </a:p>
        </c:rich>
      </c:tx>
      <c:layout/>
      <c:overlay val="0"/>
      <c:spPr>
        <a:noFill/>
        <a:ln>
          <a:noFill/>
        </a:ln>
        <a:effectLst/>
      </c:spPr>
      <c:txPr>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CONOCE EL SIGNIFICADO ECONOMÍA CIRCULAR? </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ES"/>
              </a:p>
            </c:txPr>
            <c:dLblPos val="out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Hoja1!$A$2:$A$4</c:f>
              <c:strCache>
                <c:ptCount val="3"/>
                <c:pt idx="0">
                  <c:v>Sí</c:v>
                </c:pt>
                <c:pt idx="1">
                  <c:v>No</c:v>
                </c:pt>
                <c:pt idx="2">
                  <c:v>Ns/Nc</c:v>
                </c:pt>
              </c:strCache>
            </c:strRef>
          </c:cat>
          <c:val>
            <c:numRef>
              <c:f>Hoja1!$B$2:$B$4</c:f>
              <c:numCache>
                <c:formatCode>General</c:formatCode>
                <c:ptCount val="3"/>
                <c:pt idx="0">
                  <c:v>42</c:v>
                </c:pt>
                <c:pt idx="1">
                  <c:v>50</c:v>
                </c:pt>
                <c:pt idx="2">
                  <c:v>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ÁLAVA</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CONOCE EL SIGNIFICADO ECONOMÍA CIRCULAR? </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ES"/>
              </a:p>
            </c:tx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Hoja1!$A$2:$A$4</c:f>
              <c:strCache>
                <c:ptCount val="3"/>
                <c:pt idx="0">
                  <c:v>Sí</c:v>
                </c:pt>
                <c:pt idx="1">
                  <c:v>No</c:v>
                </c:pt>
                <c:pt idx="2">
                  <c:v>Ns/Nc</c:v>
                </c:pt>
              </c:strCache>
            </c:strRef>
          </c:cat>
          <c:val>
            <c:numRef>
              <c:f>Hoja1!$B$2:$B$4</c:f>
              <c:numCache>
                <c:formatCode>General</c:formatCode>
                <c:ptCount val="3"/>
                <c:pt idx="0">
                  <c:v>88</c:v>
                </c:pt>
                <c:pt idx="1">
                  <c:v>107</c:v>
                </c:pt>
                <c:pt idx="2">
                  <c:v>10</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mn-lt"/>
                <a:ea typeface="+mn-ea"/>
                <a:cs typeface="+mn-cs"/>
              </a:defRPr>
            </a:pPr>
            <a:r>
              <a:rPr lang="en-US" sz="1200"/>
              <a:t>Servicios</a:t>
            </a:r>
          </a:p>
        </c:rich>
      </c:tx>
      <c:layout/>
      <c:overlay val="0"/>
      <c:spPr>
        <a:noFill/>
        <a:ln>
          <a:noFill/>
        </a:ln>
        <a:effectLst/>
      </c:spPr>
      <c:txPr>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¿SE HAN APLICADO EN SU EMPRESA MEDIDAS DE SOSTENIBILIDAD MEDIOAMBIENTAL?</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ES"/>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Hoja1!$A$2:$A$5</c:f>
              <c:strCache>
                <c:ptCount val="4"/>
                <c:pt idx="0">
                  <c:v>Sí</c:v>
                </c:pt>
                <c:pt idx="1">
                  <c:v>No aunque sí nos lo hemos planteado</c:v>
                </c:pt>
                <c:pt idx="2">
                  <c:v>No, por ahora no está entre nuestras prioridades</c:v>
                </c:pt>
                <c:pt idx="3">
                  <c:v>Ns/Nc</c:v>
                </c:pt>
              </c:strCache>
            </c:strRef>
          </c:cat>
          <c:val>
            <c:numRef>
              <c:f>Hoja1!$B$2:$B$5</c:f>
              <c:numCache>
                <c:formatCode>General</c:formatCode>
                <c:ptCount val="4"/>
                <c:pt idx="0">
                  <c:v>70</c:v>
                </c:pt>
                <c:pt idx="1">
                  <c:v>16</c:v>
                </c:pt>
                <c:pt idx="2">
                  <c:v>18</c:v>
                </c:pt>
                <c:pt idx="3">
                  <c:v>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mn-lt"/>
                <a:ea typeface="+mn-ea"/>
                <a:cs typeface="+mn-cs"/>
              </a:defRPr>
            </a:pPr>
            <a:r>
              <a:rPr lang="en-US" sz="1200"/>
              <a:t>Industria y constr.</a:t>
            </a:r>
          </a:p>
        </c:rich>
      </c:tx>
      <c:layout/>
      <c:overlay val="0"/>
      <c:spPr>
        <a:noFill/>
        <a:ln>
          <a:noFill/>
        </a:ln>
        <a:effectLst/>
      </c:spPr>
      <c:txPr>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¿SE HAN APLICADO EN SU EMPRESA MEDIDAS DE SOSTENIBILIDAD MEDIOAMBIENTAL?</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ES"/>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Hoja1!$A$2:$A$5</c:f>
              <c:strCache>
                <c:ptCount val="4"/>
                <c:pt idx="0">
                  <c:v>Sí</c:v>
                </c:pt>
                <c:pt idx="1">
                  <c:v>No aunque sí nos lo hemos planteado</c:v>
                </c:pt>
                <c:pt idx="2">
                  <c:v>No, por ahora no está entre nuestras prioridades</c:v>
                </c:pt>
                <c:pt idx="3">
                  <c:v>Ns/Nc</c:v>
                </c:pt>
              </c:strCache>
            </c:strRef>
          </c:cat>
          <c:val>
            <c:numRef>
              <c:f>Hoja1!$B$2:$B$5</c:f>
              <c:numCache>
                <c:formatCode>General</c:formatCode>
                <c:ptCount val="4"/>
                <c:pt idx="0">
                  <c:v>54</c:v>
                </c:pt>
                <c:pt idx="1">
                  <c:v>19</c:v>
                </c:pt>
                <c:pt idx="2">
                  <c:v>21</c:v>
                </c:pt>
                <c:pt idx="3">
                  <c:v>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ÁLAVA</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CONOCE EL SIGNIFICADO ECONOMÍA CIRCULAR? </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ES"/>
              </a:p>
            </c:tx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Hoja1!$A$2:$A$5</c:f>
              <c:strCache>
                <c:ptCount val="4"/>
                <c:pt idx="0">
                  <c:v>Sí</c:v>
                </c:pt>
                <c:pt idx="1">
                  <c:v>No aunque sí nos lo hemos planteado</c:v>
                </c:pt>
                <c:pt idx="2">
                  <c:v>No, por ahora no está entre nuestras prioridades</c:v>
                </c:pt>
                <c:pt idx="3">
                  <c:v>Ns/Nc</c:v>
                </c:pt>
              </c:strCache>
            </c:strRef>
          </c:cat>
          <c:val>
            <c:numRef>
              <c:f>Hoja1!$B$2:$B$5</c:f>
              <c:numCache>
                <c:formatCode>General</c:formatCode>
                <c:ptCount val="4"/>
                <c:pt idx="0">
                  <c:v>124</c:v>
                </c:pt>
                <c:pt idx="1">
                  <c:v>35</c:v>
                </c:pt>
                <c:pt idx="2">
                  <c:v>39</c:v>
                </c:pt>
                <c:pt idx="3">
                  <c:v>7</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l"/>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Hoja1!$B$1</c:f>
              <c:strCache>
                <c:ptCount val="1"/>
                <c:pt idx="0">
                  <c:v>Serie 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Hoja1!$A$2:$A$7</c:f>
              <c:strCache>
                <c:ptCount val="6"/>
                <c:pt idx="0">
                  <c:v>UTILIZACIÓN DE RESIDUOS GENERADOS POR OTRAS EMPRESAS</c:v>
                </c:pt>
                <c:pt idx="1">
                  <c:v>RESPONSABILIDAD SOCIAL CORPORATIVA</c:v>
                </c:pt>
                <c:pt idx="2">
                  <c:v>INVERSIÓN REDUCCIÓN DE IMPACTO MEDIOAMBIENTAL</c:v>
                </c:pt>
                <c:pt idx="3">
                  <c:v>INCORPORACIÓN PRÁCTICAS PARA LA SOSTENIBILIDAD</c:v>
                </c:pt>
                <c:pt idx="4">
                  <c:v>INVERSIÓN MEJORA EFICIENCIA ENERGÉTICA</c:v>
                </c:pt>
                <c:pt idx="5">
                  <c:v>REUTILIZACIÓN DE RESIDUOS</c:v>
                </c:pt>
              </c:strCache>
            </c:strRef>
          </c:cat>
          <c:val>
            <c:numRef>
              <c:f>Hoja1!$B$2:$B$7</c:f>
              <c:numCache>
                <c:formatCode>General</c:formatCode>
                <c:ptCount val="6"/>
                <c:pt idx="0">
                  <c:v>0.107</c:v>
                </c:pt>
                <c:pt idx="1">
                  <c:v>0.2</c:v>
                </c:pt>
                <c:pt idx="2">
                  <c:v>0.23899999999999999</c:v>
                </c:pt>
                <c:pt idx="3">
                  <c:v>0.35599999999999998</c:v>
                </c:pt>
                <c:pt idx="4">
                  <c:v>0.50700000000000001</c:v>
                </c:pt>
                <c:pt idx="5">
                  <c:v>0.55100000000000005</c:v>
                </c:pt>
              </c:numCache>
            </c:numRef>
          </c:val>
        </c:ser>
        <c:dLbls>
          <c:dLblPos val="outEnd"/>
          <c:showLegendKey val="0"/>
          <c:showVal val="1"/>
          <c:showCatName val="0"/>
          <c:showSerName val="0"/>
          <c:showPercent val="0"/>
          <c:showBubbleSize val="0"/>
        </c:dLbls>
        <c:gapWidth val="100"/>
        <c:axId val="283601904"/>
        <c:axId val="283596416"/>
      </c:barChart>
      <c:catAx>
        <c:axId val="283601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283596416"/>
        <c:crosses val="autoZero"/>
        <c:auto val="1"/>
        <c:lblAlgn val="ctr"/>
        <c:lblOffset val="100"/>
        <c:noMultiLvlLbl val="0"/>
      </c:catAx>
      <c:valAx>
        <c:axId val="2835964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28360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Hoja1!$B$1</c:f>
              <c:strCache>
                <c:ptCount val="1"/>
                <c:pt idx="0">
                  <c:v>Serie 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Hoja1!$A$2:$A$9</c:f>
              <c:strCache>
                <c:ptCount val="8"/>
                <c:pt idx="0">
                  <c:v>OTROS</c:v>
                </c:pt>
                <c:pt idx="1">
                  <c:v>DIFICULTAD PARA OBTENER FINANCIACIÓN</c:v>
                </c:pt>
                <c:pt idx="2">
                  <c:v>FALTA DE RECURSOS HUMANOS ESPECIALIZADOS</c:v>
                </c:pt>
                <c:pt idx="3">
                  <c:v>BUROCRACIA</c:v>
                </c:pt>
                <c:pt idx="4">
                  <c:v>INCERTIDUMBRE</c:v>
                </c:pt>
                <c:pt idx="5">
                  <c:v>AUMENTO COSTES PRODUCCIÓN</c:v>
                </c:pt>
                <c:pt idx="6">
                  <c:v>COYUNTURA ECONÓMICA</c:v>
                </c:pt>
                <c:pt idx="7">
                  <c:v>ESCASEZ DE INCENTIVOS</c:v>
                </c:pt>
              </c:strCache>
            </c:strRef>
          </c:cat>
          <c:val>
            <c:numRef>
              <c:f>Hoja1!$B$2:$B$9</c:f>
              <c:numCache>
                <c:formatCode>General</c:formatCode>
                <c:ptCount val="8"/>
                <c:pt idx="0">
                  <c:v>3.4000000000000002E-2</c:v>
                </c:pt>
                <c:pt idx="1">
                  <c:v>0.11700000000000001</c:v>
                </c:pt>
                <c:pt idx="2">
                  <c:v>0.156</c:v>
                </c:pt>
                <c:pt idx="3">
                  <c:v>0.22900000000000001</c:v>
                </c:pt>
                <c:pt idx="4">
                  <c:v>0.23899999999999999</c:v>
                </c:pt>
                <c:pt idx="5">
                  <c:v>0.32700000000000001</c:v>
                </c:pt>
                <c:pt idx="6">
                  <c:v>0.33200000000000002</c:v>
                </c:pt>
                <c:pt idx="7">
                  <c:v>0.44900000000000001</c:v>
                </c:pt>
              </c:numCache>
            </c:numRef>
          </c:val>
        </c:ser>
        <c:dLbls>
          <c:dLblPos val="outEnd"/>
          <c:showLegendKey val="0"/>
          <c:showVal val="1"/>
          <c:showCatName val="0"/>
          <c:showSerName val="0"/>
          <c:showPercent val="0"/>
          <c:showBubbleSize val="0"/>
        </c:dLbls>
        <c:gapWidth val="100"/>
        <c:axId val="283597592"/>
        <c:axId val="283598376"/>
      </c:barChart>
      <c:catAx>
        <c:axId val="283597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283598376"/>
        <c:crosses val="autoZero"/>
        <c:auto val="1"/>
        <c:lblAlgn val="ctr"/>
        <c:lblOffset val="100"/>
        <c:noMultiLvlLbl val="0"/>
      </c:catAx>
      <c:valAx>
        <c:axId val="2835983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283597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0476-0CEE-4E92-B2A7-F3853003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dc:creator>
  <cp:lastModifiedBy>liher</cp:lastModifiedBy>
  <cp:revision>2</cp:revision>
  <dcterms:created xsi:type="dcterms:W3CDTF">2019-01-22T09:11:00Z</dcterms:created>
  <dcterms:modified xsi:type="dcterms:W3CDTF">2019-01-22T09:11:00Z</dcterms:modified>
</cp:coreProperties>
</file>